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233A" w14:textId="77777777" w:rsidR="000D715B" w:rsidRPr="00653760" w:rsidRDefault="000D715B" w:rsidP="000D715B">
      <w:pPr>
        <w:rPr>
          <w:b/>
          <w:bCs/>
          <w:u w:val="single"/>
        </w:rPr>
      </w:pPr>
      <w:r>
        <w:rPr>
          <w:b/>
          <w:bCs/>
          <w:u w:val="single"/>
        </w:rPr>
        <w:t xml:space="preserve">Proposed </w:t>
      </w:r>
      <w:r w:rsidRPr="00653760">
        <w:rPr>
          <w:b/>
          <w:bCs/>
          <w:u w:val="single"/>
        </w:rPr>
        <w:t>New Regulation</w:t>
      </w:r>
    </w:p>
    <w:p w14:paraId="5D854C06" w14:textId="6E08952A" w:rsidR="000D715B" w:rsidRPr="00F729E4" w:rsidRDefault="000D715B" w:rsidP="000D715B">
      <w:pPr>
        <w:spacing w:after="120"/>
        <w:jc w:val="center"/>
        <w:rPr>
          <w:rFonts w:cstheme="minorHAnsi"/>
          <w:b/>
          <w:bCs/>
          <w:i/>
          <w:iCs/>
          <w:sz w:val="32"/>
          <w:szCs w:val="32"/>
        </w:rPr>
      </w:pPr>
      <w:r w:rsidRPr="00653760">
        <w:rPr>
          <w:rFonts w:asciiTheme="majorHAnsi" w:hAnsiTheme="majorHAnsi" w:cstheme="majorHAnsi"/>
          <w:b/>
          <w:bCs/>
        </w:rPr>
        <w:br/>
      </w:r>
      <w:r w:rsidRPr="00F729E4">
        <w:rPr>
          <w:rFonts w:cstheme="minorHAnsi"/>
          <w:b/>
          <w:bCs/>
          <w:i/>
          <w:iCs/>
          <w:sz w:val="32"/>
          <w:szCs w:val="32"/>
        </w:rPr>
        <w:t>THE CITIZENSHIP (SPECIAL NATURALIZATION) REGULATION, 202</w:t>
      </w:r>
      <w:r w:rsidR="002A1EAD">
        <w:rPr>
          <w:rFonts w:cstheme="minorHAnsi"/>
          <w:b/>
          <w:bCs/>
          <w:i/>
          <w:iCs/>
          <w:sz w:val="32"/>
          <w:szCs w:val="32"/>
        </w:rPr>
        <w:t>6</w:t>
      </w:r>
    </w:p>
    <w:p w14:paraId="5DC267DB" w14:textId="34B2F499" w:rsidR="000D715B" w:rsidRPr="001439D9" w:rsidRDefault="000D715B" w:rsidP="000D715B">
      <w:pPr>
        <w:spacing w:after="120"/>
        <w:jc w:val="center"/>
        <w:rPr>
          <w:rFonts w:cstheme="minorHAnsi"/>
          <w:i/>
          <w:iCs/>
        </w:rPr>
      </w:pPr>
      <w:r w:rsidRPr="001439D9">
        <w:rPr>
          <w:rFonts w:cstheme="minorHAnsi"/>
          <w:i/>
          <w:iCs/>
        </w:rPr>
        <w:t>Statutory Instrument No. ___ of 202</w:t>
      </w:r>
      <w:r w:rsidR="002A1EAD">
        <w:rPr>
          <w:rFonts w:cstheme="minorHAnsi"/>
          <w:i/>
          <w:iCs/>
        </w:rPr>
        <w:t>6</w:t>
      </w:r>
    </w:p>
    <w:p w14:paraId="0617290F" w14:textId="77777777" w:rsidR="000D715B" w:rsidRPr="00653760" w:rsidRDefault="000D715B" w:rsidP="000D715B">
      <w:pPr>
        <w:spacing w:after="120"/>
        <w:rPr>
          <w:rFonts w:asciiTheme="majorHAnsi" w:hAnsiTheme="majorHAnsi" w:cstheme="majorHAnsi"/>
          <w:i/>
          <w:iCs/>
        </w:rPr>
      </w:pPr>
      <w:r w:rsidRPr="00653760">
        <w:rPr>
          <w:rFonts w:asciiTheme="majorHAnsi" w:hAnsiTheme="majorHAnsi" w:cstheme="majorHAnsi"/>
          <w:i/>
          <w:iCs/>
        </w:rPr>
        <w:br/>
        <w:t>In exercise of the powers conferred on the President by section 27(a) of the Sierra Leone Citizenship Act, 1973 (Act No. 4 of 1973), it is hereby prescribed as follows:</w:t>
      </w:r>
      <w:r>
        <w:rPr>
          <w:rFonts w:asciiTheme="majorHAnsi" w:hAnsiTheme="majorHAnsi" w:cstheme="majorHAnsi"/>
          <w:i/>
          <w:iCs/>
        </w:rPr>
        <w:br/>
      </w:r>
    </w:p>
    <w:p w14:paraId="418ED886" w14:textId="77777777" w:rsidR="000D715B" w:rsidRPr="00653760" w:rsidRDefault="000D715B" w:rsidP="000D715B">
      <w:pPr>
        <w:spacing w:after="120"/>
        <w:rPr>
          <w:rFonts w:asciiTheme="majorHAnsi" w:hAnsiTheme="majorHAnsi" w:cstheme="majorHAnsi"/>
          <w:b/>
          <w:bCs/>
          <w:i/>
          <w:iCs/>
        </w:rPr>
      </w:pPr>
      <w:r w:rsidRPr="00653760">
        <w:rPr>
          <w:rFonts w:asciiTheme="majorHAnsi" w:hAnsiTheme="majorHAnsi" w:cstheme="majorHAnsi"/>
          <w:b/>
          <w:bCs/>
          <w:i/>
          <w:iCs/>
        </w:rPr>
        <w:t>1. Citation and Commencement</w:t>
      </w:r>
    </w:p>
    <w:p w14:paraId="20156FBD" w14:textId="4E7A605E" w:rsidR="000D715B" w:rsidRPr="00653760" w:rsidRDefault="000D715B" w:rsidP="000D715B">
      <w:pPr>
        <w:spacing w:after="120"/>
        <w:rPr>
          <w:rFonts w:asciiTheme="majorHAnsi" w:hAnsiTheme="majorHAnsi" w:cstheme="majorHAnsi"/>
          <w:i/>
          <w:iCs/>
        </w:rPr>
      </w:pPr>
      <w:r w:rsidRPr="00653760">
        <w:rPr>
          <w:rFonts w:asciiTheme="majorHAnsi" w:hAnsiTheme="majorHAnsi" w:cstheme="majorHAnsi"/>
          <w:i/>
          <w:iCs/>
        </w:rPr>
        <w:t>This Regulation may be cited as the Citizenship (Special Naturalization) Regulation, 202</w:t>
      </w:r>
      <w:r w:rsidR="002A1EAD">
        <w:rPr>
          <w:rFonts w:asciiTheme="majorHAnsi" w:hAnsiTheme="majorHAnsi" w:cstheme="majorHAnsi"/>
          <w:i/>
          <w:iCs/>
        </w:rPr>
        <w:t>6</w:t>
      </w:r>
      <w:r w:rsidRPr="00653760">
        <w:rPr>
          <w:rFonts w:asciiTheme="majorHAnsi" w:hAnsiTheme="majorHAnsi" w:cstheme="majorHAnsi"/>
          <w:i/>
          <w:iCs/>
        </w:rPr>
        <w:t>, and shall come into operation on the date of its publication in the Gazette.</w:t>
      </w:r>
      <w:r>
        <w:rPr>
          <w:rFonts w:asciiTheme="majorHAnsi" w:hAnsiTheme="majorHAnsi" w:cstheme="majorHAnsi"/>
          <w:i/>
          <w:iCs/>
        </w:rPr>
        <w:br/>
      </w:r>
      <w:r w:rsidRPr="00653760">
        <w:rPr>
          <w:rFonts w:asciiTheme="majorHAnsi" w:hAnsiTheme="majorHAnsi" w:cstheme="majorHAnsi"/>
          <w:i/>
          <w:iCs/>
        </w:rPr>
        <w:br/>
      </w:r>
      <w:r w:rsidRPr="00653760">
        <w:rPr>
          <w:rFonts w:asciiTheme="majorHAnsi" w:hAnsiTheme="majorHAnsi" w:cstheme="majorHAnsi"/>
          <w:b/>
          <w:bCs/>
          <w:i/>
          <w:iCs/>
        </w:rPr>
        <w:t>2. Interpretation</w:t>
      </w:r>
      <w:r w:rsidRPr="00653760">
        <w:rPr>
          <w:rFonts w:asciiTheme="majorHAnsi" w:hAnsiTheme="majorHAnsi" w:cstheme="majorHAnsi"/>
          <w:i/>
          <w:iCs/>
        </w:rPr>
        <w:br/>
      </w:r>
      <w:r w:rsidRPr="00653760">
        <w:rPr>
          <w:rFonts w:asciiTheme="majorHAnsi" w:hAnsiTheme="majorHAnsi" w:cstheme="majorHAnsi"/>
          <w:i/>
          <w:iCs/>
        </w:rPr>
        <w:br/>
        <w:t>In this Regulation, unless the context otherwise requires:</w:t>
      </w:r>
    </w:p>
    <w:p w14:paraId="716C5E14" w14:textId="77777777" w:rsidR="000D715B" w:rsidRPr="00653760" w:rsidRDefault="000D715B" w:rsidP="000D715B">
      <w:pPr>
        <w:spacing w:after="120"/>
        <w:rPr>
          <w:rFonts w:asciiTheme="majorHAnsi" w:hAnsiTheme="majorHAnsi" w:cstheme="majorHAnsi"/>
          <w:i/>
          <w:iCs/>
        </w:rPr>
      </w:pPr>
      <w:r w:rsidRPr="00653760">
        <w:rPr>
          <w:rFonts w:asciiTheme="majorHAnsi" w:hAnsiTheme="majorHAnsi" w:cstheme="majorHAnsi"/>
          <w:i/>
          <w:iCs/>
        </w:rPr>
        <w:t>"The Act" means the Sierra Leone Citizenship Act, 1973;</w:t>
      </w:r>
    </w:p>
    <w:p w14:paraId="65621CD9" w14:textId="77777777" w:rsidR="000D715B" w:rsidRPr="00653760" w:rsidRDefault="000D715B" w:rsidP="000D715B">
      <w:pPr>
        <w:spacing w:after="120"/>
        <w:rPr>
          <w:rFonts w:asciiTheme="majorHAnsi" w:hAnsiTheme="majorHAnsi" w:cstheme="majorHAnsi"/>
          <w:i/>
          <w:iCs/>
        </w:rPr>
      </w:pPr>
      <w:r w:rsidRPr="00653760">
        <w:rPr>
          <w:rFonts w:asciiTheme="majorHAnsi" w:hAnsiTheme="majorHAnsi" w:cstheme="majorHAnsi"/>
          <w:i/>
          <w:iCs/>
        </w:rPr>
        <w:t>"The Program" means the Government of Sierra Leone's GO-FOR-GOLD Permanent Residency &amp; Special Naturalization Initiative, governed by the GO-FOR-GOLD PROGRAM executed with official program partners;</w:t>
      </w:r>
    </w:p>
    <w:p w14:paraId="7FF9AD22" w14:textId="77777777" w:rsidR="000D715B" w:rsidRPr="00653760" w:rsidRDefault="000D715B" w:rsidP="000D715B">
      <w:pPr>
        <w:spacing w:after="120"/>
        <w:rPr>
          <w:rFonts w:asciiTheme="majorHAnsi" w:hAnsiTheme="majorHAnsi" w:cstheme="majorHAnsi"/>
          <w:i/>
          <w:iCs/>
        </w:rPr>
      </w:pPr>
      <w:r w:rsidRPr="00653760">
        <w:rPr>
          <w:rFonts w:asciiTheme="majorHAnsi" w:hAnsiTheme="majorHAnsi" w:cstheme="majorHAnsi"/>
          <w:i/>
          <w:iCs/>
        </w:rPr>
        <w:t>"Special Naturalization" means the acquisition of Sierra Leonean citizenship in accordance with this Regulation;</w:t>
      </w:r>
    </w:p>
    <w:p w14:paraId="2873FEAB" w14:textId="77777777" w:rsidR="000D715B" w:rsidRPr="00653760" w:rsidRDefault="000D715B" w:rsidP="000D715B">
      <w:pPr>
        <w:spacing w:after="120"/>
        <w:rPr>
          <w:rFonts w:asciiTheme="majorHAnsi" w:hAnsiTheme="majorHAnsi" w:cstheme="majorHAnsi"/>
          <w:i/>
          <w:iCs/>
        </w:rPr>
      </w:pPr>
      <w:r w:rsidRPr="00653760">
        <w:rPr>
          <w:rFonts w:asciiTheme="majorHAnsi" w:hAnsiTheme="majorHAnsi" w:cstheme="majorHAnsi"/>
          <w:i/>
          <w:iCs/>
        </w:rPr>
        <w:t>"Economic contribution" means payment of the prescribed program fees into an official account of the Sierra Leone Government in accordance with the terms of the Program;</w:t>
      </w:r>
    </w:p>
    <w:p w14:paraId="04FDAFC8" w14:textId="77777777" w:rsidR="000D715B" w:rsidRDefault="000D715B" w:rsidP="000D715B">
      <w:pPr>
        <w:spacing w:after="120"/>
        <w:rPr>
          <w:rFonts w:asciiTheme="majorHAnsi" w:hAnsiTheme="majorHAnsi" w:cstheme="majorHAnsi"/>
          <w:b/>
          <w:bCs/>
          <w:i/>
          <w:iCs/>
        </w:rPr>
      </w:pPr>
      <w:r w:rsidRPr="00653760">
        <w:rPr>
          <w:rFonts w:asciiTheme="majorHAnsi" w:hAnsiTheme="majorHAnsi" w:cstheme="majorHAnsi"/>
          <w:i/>
          <w:iCs/>
        </w:rPr>
        <w:t>"GO-FOR-GOLD PROGRAM" means the foundational contract signed between the Government of Sierra Leone and authorised program partners establishing the GO-FOR-GOLD Permanent Residency &amp; Special Naturalization Initiative.</w:t>
      </w:r>
      <w:r>
        <w:rPr>
          <w:rFonts w:asciiTheme="majorHAnsi" w:hAnsiTheme="majorHAnsi" w:cstheme="majorHAnsi"/>
          <w:b/>
          <w:bCs/>
          <w:i/>
          <w:iCs/>
        </w:rPr>
        <w:br/>
      </w:r>
    </w:p>
    <w:p w14:paraId="134D2DFA" w14:textId="77777777" w:rsidR="000D715B" w:rsidRPr="00653760" w:rsidRDefault="000D715B" w:rsidP="000D715B">
      <w:pPr>
        <w:spacing w:after="120"/>
        <w:rPr>
          <w:rFonts w:asciiTheme="majorHAnsi" w:hAnsiTheme="majorHAnsi" w:cstheme="majorHAnsi"/>
          <w:i/>
          <w:iCs/>
        </w:rPr>
      </w:pPr>
      <w:r w:rsidRPr="00653760">
        <w:rPr>
          <w:rFonts w:asciiTheme="majorHAnsi" w:hAnsiTheme="majorHAnsi" w:cstheme="majorHAnsi"/>
          <w:b/>
          <w:bCs/>
          <w:i/>
          <w:iCs/>
        </w:rPr>
        <w:t>3. Special Naturalization Procedure</w:t>
      </w:r>
      <w:r w:rsidRPr="00653760">
        <w:rPr>
          <w:rFonts w:asciiTheme="majorHAnsi" w:hAnsiTheme="majorHAnsi" w:cstheme="majorHAnsi"/>
          <w:i/>
          <w:iCs/>
        </w:rPr>
        <w:br/>
      </w:r>
      <w:r w:rsidRPr="00653760">
        <w:rPr>
          <w:rFonts w:asciiTheme="majorHAnsi" w:hAnsiTheme="majorHAnsi" w:cstheme="majorHAnsi"/>
          <w:i/>
          <w:iCs/>
        </w:rPr>
        <w:br/>
        <w:t>(1) An applicant who satisfies the criteria under this Regulation shall be eligible for citizenship of Sierra Leone by way of Special Naturalization.</w:t>
      </w:r>
    </w:p>
    <w:p w14:paraId="12E98AA4" w14:textId="77777777" w:rsidR="000D715B" w:rsidRPr="00653760" w:rsidRDefault="000D715B" w:rsidP="000D715B">
      <w:pPr>
        <w:spacing w:after="120"/>
        <w:rPr>
          <w:rFonts w:asciiTheme="majorHAnsi" w:hAnsiTheme="majorHAnsi" w:cstheme="majorHAnsi"/>
          <w:i/>
          <w:iCs/>
        </w:rPr>
      </w:pPr>
      <w:r w:rsidRPr="00653760">
        <w:rPr>
          <w:rFonts w:asciiTheme="majorHAnsi" w:hAnsiTheme="majorHAnsi" w:cstheme="majorHAnsi"/>
          <w:i/>
          <w:iCs/>
        </w:rPr>
        <w:lastRenderedPageBreak/>
        <w:t>(2) An application under this Regulation may be submitted and processed entirely offshore, including all stages of assessment, verification, and certificate issuance.</w:t>
      </w:r>
      <w:r w:rsidRPr="00653760">
        <w:rPr>
          <w:rFonts w:asciiTheme="majorHAnsi" w:hAnsiTheme="majorHAnsi" w:cstheme="majorHAnsi"/>
          <w:i/>
          <w:iCs/>
        </w:rPr>
        <w:br/>
      </w:r>
    </w:p>
    <w:p w14:paraId="24787F9C" w14:textId="77777777" w:rsidR="000D715B" w:rsidRPr="00653760" w:rsidRDefault="000D715B" w:rsidP="000D715B">
      <w:pPr>
        <w:spacing w:after="120"/>
        <w:rPr>
          <w:rFonts w:asciiTheme="majorHAnsi" w:hAnsiTheme="majorHAnsi" w:cstheme="majorHAnsi"/>
          <w:i/>
          <w:iCs/>
        </w:rPr>
      </w:pPr>
      <w:r w:rsidRPr="00653760">
        <w:rPr>
          <w:rFonts w:asciiTheme="majorHAnsi" w:hAnsiTheme="majorHAnsi" w:cstheme="majorHAnsi"/>
          <w:b/>
          <w:bCs/>
          <w:i/>
          <w:iCs/>
        </w:rPr>
        <w:t>4. Application of Second Schedule Waivers</w:t>
      </w:r>
      <w:r w:rsidRPr="00653760">
        <w:rPr>
          <w:rFonts w:asciiTheme="majorHAnsi" w:hAnsiTheme="majorHAnsi" w:cstheme="majorHAnsi"/>
          <w:i/>
          <w:iCs/>
        </w:rPr>
        <w:br/>
      </w:r>
      <w:r w:rsidRPr="00653760">
        <w:rPr>
          <w:rFonts w:asciiTheme="majorHAnsi" w:hAnsiTheme="majorHAnsi" w:cstheme="majorHAnsi"/>
          <w:i/>
          <w:iCs/>
        </w:rPr>
        <w:br/>
        <w:t>For the purposes of this Regulation:</w:t>
      </w:r>
      <w:r>
        <w:rPr>
          <w:rFonts w:asciiTheme="majorHAnsi" w:hAnsiTheme="majorHAnsi" w:cstheme="majorHAnsi"/>
          <w:i/>
          <w:iCs/>
        </w:rPr>
        <w:br/>
      </w:r>
      <w:r w:rsidRPr="00653760">
        <w:rPr>
          <w:rFonts w:asciiTheme="majorHAnsi" w:hAnsiTheme="majorHAnsi" w:cstheme="majorHAnsi"/>
          <w:i/>
          <w:iCs/>
        </w:rPr>
        <w:br/>
        <w:t>(a) Section 2(b) of the Second Schedule to the Act shall be deemed to apply mutatis mutandis to all applicants under this Regulation, and shall automatically waive the requirements of:</w:t>
      </w:r>
      <w:r w:rsidRPr="00653760">
        <w:rPr>
          <w:rFonts w:asciiTheme="majorHAnsi" w:hAnsiTheme="majorHAnsi" w:cstheme="majorHAnsi"/>
          <w:i/>
          <w:iCs/>
        </w:rPr>
        <w:br/>
      </w:r>
      <w:r w:rsidRPr="00653760">
        <w:rPr>
          <w:rFonts w:asciiTheme="majorHAnsi" w:hAnsiTheme="majorHAnsi" w:cstheme="majorHAnsi"/>
          <w:i/>
          <w:iCs/>
        </w:rPr>
        <w:br/>
      </w:r>
      <w:proofErr w:type="gramStart"/>
      <w:r w:rsidRPr="00653760">
        <w:rPr>
          <w:rFonts w:asciiTheme="majorHAnsi" w:hAnsiTheme="majorHAnsi" w:cstheme="majorHAnsi"/>
          <w:i/>
          <w:iCs/>
        </w:rPr>
        <w:t xml:space="preserve">   (</w:t>
      </w:r>
      <w:proofErr w:type="gramEnd"/>
      <w:r w:rsidRPr="00653760">
        <w:rPr>
          <w:rFonts w:asciiTheme="majorHAnsi" w:hAnsiTheme="majorHAnsi" w:cstheme="majorHAnsi"/>
          <w:i/>
          <w:iCs/>
        </w:rPr>
        <w:t>i) section 1(a) (residency requirement); and</w:t>
      </w:r>
      <w:r>
        <w:rPr>
          <w:rFonts w:asciiTheme="majorHAnsi" w:hAnsiTheme="majorHAnsi" w:cstheme="majorHAnsi"/>
          <w:i/>
          <w:iCs/>
        </w:rPr>
        <w:br/>
      </w:r>
      <w:r w:rsidRPr="00653760">
        <w:rPr>
          <w:rFonts w:asciiTheme="majorHAnsi" w:hAnsiTheme="majorHAnsi" w:cstheme="majorHAnsi"/>
          <w:i/>
          <w:iCs/>
        </w:rPr>
        <w:br/>
      </w:r>
      <w:proofErr w:type="gramStart"/>
      <w:r w:rsidRPr="00653760">
        <w:rPr>
          <w:rFonts w:asciiTheme="majorHAnsi" w:hAnsiTheme="majorHAnsi" w:cstheme="majorHAnsi"/>
          <w:i/>
          <w:iCs/>
        </w:rPr>
        <w:t xml:space="preserve">   (</w:t>
      </w:r>
      <w:proofErr w:type="gramEnd"/>
      <w:r w:rsidRPr="00653760">
        <w:rPr>
          <w:rFonts w:asciiTheme="majorHAnsi" w:hAnsiTheme="majorHAnsi" w:cstheme="majorHAnsi"/>
          <w:i/>
          <w:iCs/>
        </w:rPr>
        <w:t>ii) section 1(b) (employment or business activity requirement), as conditions precedent for naturalization.</w:t>
      </w:r>
      <w:r w:rsidRPr="00653760">
        <w:rPr>
          <w:rFonts w:asciiTheme="majorHAnsi" w:hAnsiTheme="majorHAnsi" w:cstheme="majorHAnsi"/>
          <w:i/>
          <w:iCs/>
        </w:rPr>
        <w:br/>
      </w:r>
    </w:p>
    <w:p w14:paraId="3DC448D5" w14:textId="77777777" w:rsidR="000D715B" w:rsidRPr="00653760" w:rsidRDefault="000D715B" w:rsidP="000D715B">
      <w:pPr>
        <w:spacing w:after="120"/>
        <w:rPr>
          <w:rFonts w:asciiTheme="majorHAnsi" w:hAnsiTheme="majorHAnsi" w:cstheme="majorHAnsi"/>
          <w:i/>
          <w:iCs/>
        </w:rPr>
      </w:pPr>
      <w:r w:rsidRPr="00653760">
        <w:rPr>
          <w:rFonts w:asciiTheme="majorHAnsi" w:hAnsiTheme="majorHAnsi" w:cstheme="majorHAnsi"/>
          <w:b/>
          <w:bCs/>
          <w:i/>
          <w:iCs/>
        </w:rPr>
        <w:t>5. Presumption of Negro-African Descent</w:t>
      </w:r>
      <w:r w:rsidRPr="00653760">
        <w:rPr>
          <w:rFonts w:asciiTheme="majorHAnsi" w:hAnsiTheme="majorHAnsi" w:cstheme="majorHAnsi"/>
          <w:i/>
          <w:iCs/>
        </w:rPr>
        <w:br/>
      </w:r>
      <w:r w:rsidRPr="00653760">
        <w:rPr>
          <w:rFonts w:asciiTheme="majorHAnsi" w:hAnsiTheme="majorHAnsi" w:cstheme="majorHAnsi"/>
          <w:i/>
          <w:iCs/>
        </w:rPr>
        <w:br/>
        <w:t>(1) All persons applying under this Regulation shall be deemed to be of Negro-African descent for the purposes of the Act.</w:t>
      </w:r>
      <w:r w:rsidRPr="00653760">
        <w:rPr>
          <w:rFonts w:asciiTheme="majorHAnsi" w:hAnsiTheme="majorHAnsi" w:cstheme="majorHAnsi"/>
          <w:i/>
          <w:iCs/>
        </w:rPr>
        <w:br/>
      </w:r>
      <w:r w:rsidRPr="00653760">
        <w:rPr>
          <w:rFonts w:asciiTheme="majorHAnsi" w:hAnsiTheme="majorHAnsi" w:cstheme="majorHAnsi"/>
          <w:i/>
          <w:iCs/>
        </w:rPr>
        <w:br/>
        <w:t>(2) This presumption shall be applied consistently in the administration of all relevant provisions of the Act and its Schedules and reflects the spirit and intent of the amended 2021 Citizenship Act.</w:t>
      </w:r>
      <w:r w:rsidRPr="00653760">
        <w:rPr>
          <w:rFonts w:asciiTheme="majorHAnsi" w:hAnsiTheme="majorHAnsi" w:cstheme="majorHAnsi"/>
          <w:i/>
          <w:iCs/>
        </w:rPr>
        <w:br/>
      </w:r>
    </w:p>
    <w:p w14:paraId="2E2ADFF5" w14:textId="77777777" w:rsidR="000D715B" w:rsidRDefault="000D715B" w:rsidP="000D715B">
      <w:pPr>
        <w:spacing w:after="120"/>
        <w:rPr>
          <w:rFonts w:asciiTheme="majorHAnsi" w:hAnsiTheme="majorHAnsi" w:cstheme="majorHAnsi"/>
          <w:i/>
          <w:iCs/>
        </w:rPr>
      </w:pPr>
      <w:r w:rsidRPr="00653760">
        <w:rPr>
          <w:rFonts w:asciiTheme="majorHAnsi" w:hAnsiTheme="majorHAnsi" w:cstheme="majorHAnsi"/>
          <w:b/>
          <w:bCs/>
          <w:i/>
          <w:iCs/>
        </w:rPr>
        <w:t>6. Due Diligence Requirement</w:t>
      </w:r>
      <w:r w:rsidRPr="00653760">
        <w:rPr>
          <w:rFonts w:asciiTheme="majorHAnsi" w:hAnsiTheme="majorHAnsi" w:cstheme="majorHAnsi"/>
          <w:i/>
          <w:iCs/>
        </w:rPr>
        <w:br/>
      </w:r>
      <w:r w:rsidRPr="00653760">
        <w:rPr>
          <w:rFonts w:asciiTheme="majorHAnsi" w:hAnsiTheme="majorHAnsi" w:cstheme="majorHAnsi"/>
          <w:i/>
          <w:iCs/>
        </w:rPr>
        <w:br/>
        <w:t>(1) All applicants shall undergo and satisfactorily complete the due diligence process as defined in the Program, as administered pursuant to the GO-FOR-GOLD PROGRAM.</w:t>
      </w:r>
      <w:r w:rsidRPr="00653760">
        <w:rPr>
          <w:rFonts w:asciiTheme="majorHAnsi" w:hAnsiTheme="majorHAnsi" w:cstheme="majorHAnsi"/>
          <w:i/>
          <w:iCs/>
        </w:rPr>
        <w:br/>
      </w:r>
      <w:r w:rsidRPr="00653760">
        <w:rPr>
          <w:rFonts w:asciiTheme="majorHAnsi" w:hAnsiTheme="majorHAnsi" w:cstheme="majorHAnsi"/>
          <w:i/>
          <w:iCs/>
        </w:rPr>
        <w:br/>
        <w:t>(2) No application shall proceed to final approval without formal confirmation of due diligence clearance from the designated authority under the Program.</w:t>
      </w:r>
      <w:r w:rsidRPr="00653760">
        <w:rPr>
          <w:rFonts w:asciiTheme="majorHAnsi" w:hAnsiTheme="majorHAnsi" w:cstheme="majorHAnsi"/>
          <w:i/>
          <w:iCs/>
        </w:rPr>
        <w:br/>
      </w:r>
    </w:p>
    <w:p w14:paraId="3DDE85E8" w14:textId="77777777" w:rsidR="000D715B" w:rsidRPr="00BC733A" w:rsidRDefault="000D715B" w:rsidP="000D715B">
      <w:pPr>
        <w:spacing w:after="120"/>
        <w:rPr>
          <w:rFonts w:ascii="Calibri Light" w:hAnsi="Calibri Light" w:cs="Calibri Light"/>
          <w:i/>
          <w:iCs/>
        </w:rPr>
      </w:pPr>
      <w:r>
        <w:rPr>
          <w:rFonts w:ascii="Calibri Light" w:hAnsi="Calibri Light" w:cs="Calibri Light"/>
          <w:i/>
          <w:iCs/>
        </w:rPr>
        <w:t xml:space="preserve">(3) Official </w:t>
      </w:r>
      <w:r w:rsidRPr="00BC733A">
        <w:rPr>
          <w:rFonts w:ascii="Calibri Light" w:hAnsi="Calibri Light" w:cs="Calibri Light"/>
          <w:i/>
          <w:iCs/>
        </w:rPr>
        <w:t>GO-FOR-GOLD PROGRAM</w:t>
      </w:r>
      <w:r>
        <w:rPr>
          <w:rFonts w:ascii="Calibri Light" w:hAnsi="Calibri Light" w:cs="Calibri Light"/>
          <w:i/>
          <w:iCs/>
        </w:rPr>
        <w:t xml:space="preserve"> partners are authorised to serve as Referees and Certificators of copy documents under the Program.</w:t>
      </w:r>
      <w:r w:rsidRPr="00BC733A">
        <w:rPr>
          <w:rFonts w:ascii="Calibri Light" w:hAnsi="Calibri Light" w:cs="Calibri Light"/>
          <w:i/>
          <w:iCs/>
        </w:rPr>
        <w:br/>
      </w:r>
    </w:p>
    <w:p w14:paraId="1CC3EF33" w14:textId="77777777" w:rsidR="000D715B" w:rsidRPr="00653760" w:rsidRDefault="000D715B" w:rsidP="000D715B">
      <w:pPr>
        <w:spacing w:after="120"/>
        <w:rPr>
          <w:rFonts w:asciiTheme="majorHAnsi" w:hAnsiTheme="majorHAnsi" w:cstheme="majorHAnsi"/>
          <w:i/>
          <w:iCs/>
        </w:rPr>
      </w:pPr>
      <w:r w:rsidRPr="00653760">
        <w:rPr>
          <w:rFonts w:asciiTheme="majorHAnsi" w:hAnsiTheme="majorHAnsi" w:cstheme="majorHAnsi"/>
          <w:b/>
          <w:bCs/>
          <w:i/>
          <w:iCs/>
        </w:rPr>
        <w:t>7. Economic Contribution</w:t>
      </w:r>
      <w:r w:rsidRPr="00653760">
        <w:rPr>
          <w:rFonts w:asciiTheme="majorHAnsi" w:hAnsiTheme="majorHAnsi" w:cstheme="majorHAnsi"/>
          <w:i/>
          <w:iCs/>
        </w:rPr>
        <w:br/>
      </w:r>
      <w:r w:rsidRPr="00653760">
        <w:rPr>
          <w:rFonts w:asciiTheme="majorHAnsi" w:hAnsiTheme="majorHAnsi" w:cstheme="majorHAnsi"/>
          <w:i/>
          <w:iCs/>
        </w:rPr>
        <w:br/>
      </w:r>
      <w:r w:rsidRPr="00653760">
        <w:rPr>
          <w:rFonts w:asciiTheme="majorHAnsi" w:hAnsiTheme="majorHAnsi" w:cstheme="majorHAnsi"/>
          <w:i/>
          <w:iCs/>
        </w:rPr>
        <w:lastRenderedPageBreak/>
        <w:t>(1) A person shall not be eligible for Special Naturalization unless they have made the qualifying economic contribution to Sierra Leone, as specified in the Program guidelines.</w:t>
      </w:r>
      <w:r w:rsidRPr="00653760">
        <w:rPr>
          <w:rFonts w:asciiTheme="majorHAnsi" w:hAnsiTheme="majorHAnsi" w:cstheme="majorHAnsi"/>
          <w:i/>
          <w:iCs/>
        </w:rPr>
        <w:br/>
      </w:r>
      <w:r w:rsidRPr="00653760">
        <w:rPr>
          <w:rFonts w:asciiTheme="majorHAnsi" w:hAnsiTheme="majorHAnsi" w:cstheme="majorHAnsi"/>
          <w:i/>
          <w:iCs/>
        </w:rPr>
        <w:br/>
        <w:t>(2) The contribution shall be paid into an official account designated by the Government of Sierra Leone and shall be non-refundable upon the grant of citizenship.</w:t>
      </w:r>
      <w:r w:rsidRPr="00653760">
        <w:rPr>
          <w:rFonts w:asciiTheme="majorHAnsi" w:hAnsiTheme="majorHAnsi" w:cstheme="majorHAnsi"/>
          <w:i/>
          <w:iCs/>
        </w:rPr>
        <w:br/>
      </w:r>
      <w:r w:rsidRPr="00653760">
        <w:rPr>
          <w:rFonts w:asciiTheme="majorHAnsi" w:hAnsiTheme="majorHAnsi" w:cstheme="majorHAnsi"/>
          <w:i/>
          <w:iCs/>
        </w:rPr>
        <w:br/>
        <w:t>(3) Where an application is refused prior to the grant of citizenship, the contribution shall be refunded, less any administrative fees, in accordance with published guidelines.</w:t>
      </w:r>
      <w:r w:rsidRPr="00653760">
        <w:rPr>
          <w:rFonts w:asciiTheme="majorHAnsi" w:hAnsiTheme="majorHAnsi" w:cstheme="majorHAnsi"/>
          <w:i/>
          <w:iCs/>
        </w:rPr>
        <w:br/>
      </w:r>
    </w:p>
    <w:p w14:paraId="23BC29CE" w14:textId="558BA05B" w:rsidR="000D715B" w:rsidRPr="00653760" w:rsidRDefault="000D715B" w:rsidP="000D715B">
      <w:pPr>
        <w:spacing w:after="120"/>
        <w:rPr>
          <w:rFonts w:asciiTheme="majorHAnsi" w:hAnsiTheme="majorHAnsi" w:cstheme="majorHAnsi"/>
          <w:i/>
          <w:iCs/>
        </w:rPr>
      </w:pPr>
      <w:r w:rsidRPr="00653760">
        <w:rPr>
          <w:rFonts w:asciiTheme="majorHAnsi" w:hAnsiTheme="majorHAnsi" w:cstheme="majorHAnsi"/>
          <w:b/>
          <w:bCs/>
          <w:i/>
          <w:iCs/>
        </w:rPr>
        <w:t>8. Oath of Allegiance and Declaration of Status</w:t>
      </w:r>
      <w:r w:rsidRPr="00653760">
        <w:rPr>
          <w:rFonts w:asciiTheme="majorHAnsi" w:hAnsiTheme="majorHAnsi" w:cstheme="majorHAnsi"/>
          <w:i/>
          <w:iCs/>
        </w:rPr>
        <w:br/>
      </w:r>
      <w:r w:rsidRPr="00653760">
        <w:rPr>
          <w:rFonts w:asciiTheme="majorHAnsi" w:hAnsiTheme="majorHAnsi" w:cstheme="majorHAnsi"/>
          <w:i/>
          <w:iCs/>
        </w:rPr>
        <w:br/>
        <w:t>(1) No Certificate of Naturalization shall be issued under this Regulation unless the applicant has first taken the Oath of Allegiance in the form set out in the First Schedule to the Act.</w:t>
      </w:r>
      <w:r w:rsidRPr="00653760">
        <w:rPr>
          <w:rFonts w:asciiTheme="majorHAnsi" w:hAnsiTheme="majorHAnsi" w:cstheme="majorHAnsi"/>
          <w:i/>
          <w:iCs/>
        </w:rPr>
        <w:br/>
      </w:r>
      <w:r w:rsidRPr="00653760">
        <w:rPr>
          <w:rFonts w:asciiTheme="majorHAnsi" w:hAnsiTheme="majorHAnsi" w:cstheme="majorHAnsi"/>
          <w:i/>
          <w:iCs/>
        </w:rPr>
        <w:br/>
        <w:t>(2) In addition to the Oath of Allegiance, every applicant shall submit a Declaration in writing to the Minister under section 9 of the Act confirming that:</w:t>
      </w:r>
      <w:r w:rsidRPr="00653760">
        <w:rPr>
          <w:rFonts w:asciiTheme="majorHAnsi" w:hAnsiTheme="majorHAnsi" w:cstheme="majorHAnsi"/>
          <w:i/>
          <w:iCs/>
        </w:rPr>
        <w:br/>
      </w:r>
      <w:r w:rsidRPr="00653760">
        <w:rPr>
          <w:rFonts w:asciiTheme="majorHAnsi" w:hAnsiTheme="majorHAnsi" w:cstheme="majorHAnsi"/>
          <w:i/>
          <w:iCs/>
        </w:rPr>
        <w:br/>
        <w:t xml:space="preserve">   (a) they are a person of independent means, financially self-sufficient, and in possession of sufficient financial resources, assets, or income</w:t>
      </w:r>
      <w:r w:rsidR="00AD3BAC">
        <w:rPr>
          <w:rFonts w:asciiTheme="majorHAnsi" w:hAnsiTheme="majorHAnsi" w:cstheme="majorHAnsi"/>
          <w:i/>
          <w:iCs/>
        </w:rPr>
        <w:t xml:space="preserve"> </w:t>
      </w:r>
      <w:r w:rsidR="002A1EAD">
        <w:rPr>
          <w:rFonts w:asciiTheme="majorHAnsi" w:hAnsiTheme="majorHAnsi" w:cstheme="majorHAnsi"/>
          <w:i/>
          <w:iCs/>
        </w:rPr>
        <w:t>in the region of</w:t>
      </w:r>
      <w:r w:rsidR="00AD3BAC">
        <w:rPr>
          <w:rFonts w:asciiTheme="majorHAnsi" w:hAnsiTheme="majorHAnsi" w:cstheme="majorHAnsi"/>
          <w:i/>
          <w:iCs/>
        </w:rPr>
        <w:t xml:space="preserve"> USD1 million</w:t>
      </w:r>
      <w:r w:rsidRPr="00653760">
        <w:rPr>
          <w:rFonts w:asciiTheme="majorHAnsi" w:hAnsiTheme="majorHAnsi" w:cstheme="majorHAnsi"/>
          <w:i/>
          <w:iCs/>
        </w:rPr>
        <w:t xml:space="preserve"> to maintain themselves and reside in Sierra Leone;</w:t>
      </w:r>
      <w:r w:rsidRPr="00653760">
        <w:rPr>
          <w:rFonts w:asciiTheme="majorHAnsi" w:hAnsiTheme="majorHAnsi" w:cstheme="majorHAnsi"/>
          <w:i/>
          <w:iCs/>
        </w:rPr>
        <w:br/>
      </w:r>
      <w:r w:rsidRPr="00653760">
        <w:rPr>
          <w:rFonts w:asciiTheme="majorHAnsi" w:hAnsiTheme="majorHAnsi" w:cstheme="majorHAnsi"/>
          <w:i/>
          <w:iCs/>
        </w:rPr>
        <w:br/>
        <w:t xml:space="preserve">   (b) they shall not engage in employment or have recourse to public funds within the Republic.</w:t>
      </w:r>
      <w:r w:rsidRPr="00653760">
        <w:rPr>
          <w:rFonts w:asciiTheme="majorHAnsi" w:hAnsiTheme="majorHAnsi" w:cstheme="majorHAnsi"/>
          <w:i/>
          <w:iCs/>
        </w:rPr>
        <w:br/>
      </w:r>
      <w:r w:rsidRPr="00653760">
        <w:rPr>
          <w:rFonts w:asciiTheme="majorHAnsi" w:hAnsiTheme="majorHAnsi" w:cstheme="majorHAnsi"/>
          <w:i/>
          <w:iCs/>
        </w:rPr>
        <w:br/>
        <w:t>(3) The Declaration referred to in sub regulation (2) shall be in a form prescribed by the Minister and shall accompany the final application dossier prior to issuance of the Certificate of Naturalization.</w:t>
      </w:r>
      <w:r w:rsidRPr="00653760">
        <w:rPr>
          <w:rFonts w:asciiTheme="majorHAnsi" w:hAnsiTheme="majorHAnsi" w:cstheme="majorHAnsi"/>
          <w:i/>
          <w:iCs/>
        </w:rPr>
        <w:br/>
      </w:r>
    </w:p>
    <w:p w14:paraId="049C991C" w14:textId="77777777" w:rsidR="000D715B" w:rsidRPr="00653760" w:rsidRDefault="000D715B" w:rsidP="000D715B">
      <w:pPr>
        <w:spacing w:after="120"/>
        <w:rPr>
          <w:rFonts w:asciiTheme="majorHAnsi" w:hAnsiTheme="majorHAnsi" w:cstheme="majorHAnsi"/>
          <w:i/>
          <w:iCs/>
        </w:rPr>
      </w:pPr>
      <w:r w:rsidRPr="00653760">
        <w:rPr>
          <w:rFonts w:asciiTheme="majorHAnsi" w:hAnsiTheme="majorHAnsi" w:cstheme="majorHAnsi"/>
          <w:b/>
          <w:bCs/>
          <w:i/>
          <w:iCs/>
        </w:rPr>
        <w:t>9. Grant of Citizenship</w:t>
      </w:r>
      <w:r w:rsidRPr="00653760">
        <w:rPr>
          <w:rFonts w:asciiTheme="majorHAnsi" w:hAnsiTheme="majorHAnsi" w:cstheme="majorHAnsi"/>
          <w:i/>
          <w:iCs/>
        </w:rPr>
        <w:br/>
      </w:r>
      <w:r w:rsidRPr="00653760">
        <w:rPr>
          <w:rFonts w:asciiTheme="majorHAnsi" w:hAnsiTheme="majorHAnsi" w:cstheme="majorHAnsi"/>
          <w:i/>
          <w:iCs/>
        </w:rPr>
        <w:br/>
        <w:t>(1) Upon satisfaction of all requirements under this Regulation, the Minister shall cause to be issued a Certificate of Naturalization, duly signed by the President.</w:t>
      </w:r>
      <w:r w:rsidRPr="00653760">
        <w:rPr>
          <w:rFonts w:asciiTheme="majorHAnsi" w:hAnsiTheme="majorHAnsi" w:cstheme="majorHAnsi"/>
          <w:i/>
          <w:iCs/>
        </w:rPr>
        <w:br/>
      </w:r>
      <w:r w:rsidRPr="00653760">
        <w:rPr>
          <w:rFonts w:asciiTheme="majorHAnsi" w:hAnsiTheme="majorHAnsi" w:cstheme="majorHAnsi"/>
          <w:i/>
          <w:iCs/>
        </w:rPr>
        <w:br/>
        <w:t>(2) Such Certificate shall have the same legal effect as if granted under section 8 of the Act.</w:t>
      </w:r>
      <w:r w:rsidRPr="00653760">
        <w:rPr>
          <w:rFonts w:asciiTheme="majorHAnsi" w:hAnsiTheme="majorHAnsi" w:cstheme="majorHAnsi"/>
          <w:i/>
          <w:iCs/>
        </w:rPr>
        <w:br/>
      </w:r>
      <w:r w:rsidRPr="00653760">
        <w:rPr>
          <w:rFonts w:asciiTheme="majorHAnsi" w:hAnsiTheme="majorHAnsi" w:cstheme="majorHAnsi"/>
          <w:i/>
          <w:iCs/>
        </w:rPr>
        <w:br/>
        <w:t xml:space="preserve">(3) Pending issuance of the Certificate of Naturalization under sub regulation (1), a Letter of Naturalization issued by the Chief Immigration Officer shall constitute interim official confirmation </w:t>
      </w:r>
      <w:r w:rsidRPr="00653760">
        <w:rPr>
          <w:rFonts w:asciiTheme="majorHAnsi" w:hAnsiTheme="majorHAnsi" w:cstheme="majorHAnsi"/>
          <w:i/>
          <w:iCs/>
        </w:rPr>
        <w:lastRenderedPageBreak/>
        <w:t>of the grant of citizenship.</w:t>
      </w:r>
      <w:r w:rsidRPr="00653760">
        <w:rPr>
          <w:rFonts w:asciiTheme="majorHAnsi" w:hAnsiTheme="majorHAnsi" w:cstheme="majorHAnsi"/>
          <w:i/>
          <w:iCs/>
        </w:rPr>
        <w:br/>
      </w:r>
    </w:p>
    <w:p w14:paraId="06AA6F6A" w14:textId="77777777" w:rsidR="000D715B" w:rsidRPr="00653760" w:rsidRDefault="000D715B" w:rsidP="000D715B">
      <w:pPr>
        <w:spacing w:after="120"/>
        <w:rPr>
          <w:rFonts w:asciiTheme="majorHAnsi" w:hAnsiTheme="majorHAnsi" w:cstheme="majorHAnsi"/>
          <w:i/>
          <w:iCs/>
        </w:rPr>
      </w:pPr>
      <w:r w:rsidRPr="00653760">
        <w:rPr>
          <w:rFonts w:asciiTheme="majorHAnsi" w:hAnsiTheme="majorHAnsi" w:cstheme="majorHAnsi"/>
          <w:b/>
          <w:bCs/>
          <w:i/>
          <w:iCs/>
        </w:rPr>
        <w:t>10. Administrative Directions by Chief Immigration Officer</w:t>
      </w:r>
      <w:r w:rsidRPr="00653760">
        <w:rPr>
          <w:rFonts w:asciiTheme="majorHAnsi" w:hAnsiTheme="majorHAnsi" w:cstheme="majorHAnsi"/>
          <w:i/>
          <w:iCs/>
        </w:rPr>
        <w:br/>
      </w:r>
      <w:r w:rsidRPr="00653760">
        <w:rPr>
          <w:rFonts w:asciiTheme="majorHAnsi" w:hAnsiTheme="majorHAnsi" w:cstheme="majorHAnsi"/>
          <w:i/>
          <w:iCs/>
        </w:rPr>
        <w:br/>
        <w:t>(1) The Chief Immigration Officer may, with the approval of the Minister, issue such administrative directions, or supplementary guidelines as may be necessary for the effective implementation of this Regulation.</w:t>
      </w:r>
      <w:r w:rsidRPr="00653760">
        <w:rPr>
          <w:rFonts w:asciiTheme="majorHAnsi" w:hAnsiTheme="majorHAnsi" w:cstheme="majorHAnsi"/>
          <w:i/>
          <w:iCs/>
        </w:rPr>
        <w:br/>
      </w:r>
      <w:r w:rsidRPr="00653760">
        <w:rPr>
          <w:rFonts w:asciiTheme="majorHAnsi" w:hAnsiTheme="majorHAnsi" w:cstheme="majorHAnsi"/>
          <w:i/>
          <w:iCs/>
        </w:rPr>
        <w:br/>
        <w:t>(2) Without prejudice to the generality of sub regulation (1), such directions may relate to:</w:t>
      </w:r>
      <w:r w:rsidRPr="00653760">
        <w:rPr>
          <w:rFonts w:asciiTheme="majorHAnsi" w:hAnsiTheme="majorHAnsi" w:cstheme="majorHAnsi"/>
          <w:i/>
          <w:iCs/>
        </w:rPr>
        <w:br/>
      </w:r>
      <w:r w:rsidRPr="00653760">
        <w:rPr>
          <w:rFonts w:asciiTheme="majorHAnsi" w:hAnsiTheme="majorHAnsi" w:cstheme="majorHAnsi"/>
          <w:i/>
          <w:iCs/>
        </w:rPr>
        <w:br/>
        <w:t xml:space="preserve">   (a) procedures for offshore processing of applications;</w:t>
      </w:r>
      <w:r>
        <w:rPr>
          <w:rFonts w:asciiTheme="majorHAnsi" w:hAnsiTheme="majorHAnsi" w:cstheme="majorHAnsi"/>
          <w:i/>
          <w:iCs/>
        </w:rPr>
        <w:br/>
      </w:r>
      <w:r w:rsidRPr="00653760">
        <w:rPr>
          <w:rFonts w:asciiTheme="majorHAnsi" w:hAnsiTheme="majorHAnsi" w:cstheme="majorHAnsi"/>
          <w:i/>
          <w:iCs/>
        </w:rPr>
        <w:br/>
        <w:t xml:space="preserve">   (b) verification of due diligence and eligibility documentation;</w:t>
      </w:r>
      <w:r>
        <w:rPr>
          <w:rFonts w:asciiTheme="majorHAnsi" w:hAnsiTheme="majorHAnsi" w:cstheme="majorHAnsi"/>
          <w:i/>
          <w:iCs/>
        </w:rPr>
        <w:br/>
      </w:r>
      <w:r w:rsidRPr="00653760">
        <w:rPr>
          <w:rFonts w:asciiTheme="majorHAnsi" w:hAnsiTheme="majorHAnsi" w:cstheme="majorHAnsi"/>
          <w:i/>
          <w:iCs/>
        </w:rPr>
        <w:br/>
        <w:t xml:space="preserve">   (c) issuance of the Letter of Naturalization;</w:t>
      </w:r>
      <w:r>
        <w:rPr>
          <w:rFonts w:asciiTheme="majorHAnsi" w:hAnsiTheme="majorHAnsi" w:cstheme="majorHAnsi"/>
          <w:i/>
          <w:iCs/>
        </w:rPr>
        <w:br/>
      </w:r>
      <w:r w:rsidRPr="00653760">
        <w:rPr>
          <w:rFonts w:asciiTheme="majorHAnsi" w:hAnsiTheme="majorHAnsi" w:cstheme="majorHAnsi"/>
          <w:i/>
          <w:iCs/>
        </w:rPr>
        <w:br/>
        <w:t xml:space="preserve">   (d) standardi</w:t>
      </w:r>
      <w:r>
        <w:rPr>
          <w:rFonts w:asciiTheme="majorHAnsi" w:hAnsiTheme="majorHAnsi" w:cstheme="majorHAnsi"/>
          <w:i/>
          <w:iCs/>
        </w:rPr>
        <w:t>z</w:t>
      </w:r>
      <w:r w:rsidRPr="00653760">
        <w:rPr>
          <w:rFonts w:asciiTheme="majorHAnsi" w:hAnsiTheme="majorHAnsi" w:cstheme="majorHAnsi"/>
          <w:i/>
          <w:iCs/>
        </w:rPr>
        <w:t>ed forms for the Oath of Allegiance and Declaration of Financial Means;</w:t>
      </w:r>
      <w:r>
        <w:rPr>
          <w:rFonts w:asciiTheme="majorHAnsi" w:hAnsiTheme="majorHAnsi" w:cstheme="majorHAnsi"/>
          <w:i/>
          <w:iCs/>
        </w:rPr>
        <w:br/>
      </w:r>
      <w:r w:rsidRPr="00653760">
        <w:rPr>
          <w:rFonts w:asciiTheme="majorHAnsi" w:hAnsiTheme="majorHAnsi" w:cstheme="majorHAnsi"/>
          <w:i/>
          <w:iCs/>
        </w:rPr>
        <w:br/>
        <w:t xml:space="preserve">   (e) any other operational matter necessary for the smooth execution of the Special Naturalization process.</w:t>
      </w:r>
      <w:r w:rsidRPr="00653760">
        <w:rPr>
          <w:rFonts w:asciiTheme="majorHAnsi" w:hAnsiTheme="majorHAnsi" w:cstheme="majorHAnsi"/>
          <w:i/>
          <w:iCs/>
        </w:rPr>
        <w:br/>
      </w:r>
      <w:r w:rsidRPr="00653760">
        <w:rPr>
          <w:rFonts w:asciiTheme="majorHAnsi" w:hAnsiTheme="majorHAnsi" w:cstheme="majorHAnsi"/>
          <w:i/>
          <w:iCs/>
        </w:rPr>
        <w:br/>
        <w:t>(3) All directions issued under this Regulation shall be published by notice in the Gazette or in such other publicly accessible electronic or administrative medium as the Minister may designate.</w:t>
      </w:r>
      <w:r w:rsidRPr="00653760">
        <w:rPr>
          <w:rFonts w:asciiTheme="majorHAnsi" w:hAnsiTheme="majorHAnsi" w:cstheme="majorHAnsi"/>
          <w:i/>
          <w:iCs/>
        </w:rPr>
        <w:br/>
      </w:r>
    </w:p>
    <w:p w14:paraId="5380D760" w14:textId="77777777" w:rsidR="000D715B" w:rsidRPr="00653760" w:rsidRDefault="000D715B" w:rsidP="000D715B">
      <w:pPr>
        <w:spacing w:after="120"/>
        <w:rPr>
          <w:rFonts w:asciiTheme="majorHAnsi" w:hAnsiTheme="majorHAnsi" w:cstheme="majorHAnsi"/>
          <w:i/>
          <w:iCs/>
        </w:rPr>
      </w:pPr>
      <w:r w:rsidRPr="00653760">
        <w:rPr>
          <w:rFonts w:asciiTheme="majorHAnsi" w:hAnsiTheme="majorHAnsi" w:cstheme="majorHAnsi"/>
          <w:b/>
          <w:bCs/>
          <w:i/>
          <w:iCs/>
        </w:rPr>
        <w:t>11. Transitional Provisions</w:t>
      </w:r>
      <w:r w:rsidRPr="00653760">
        <w:rPr>
          <w:rFonts w:asciiTheme="majorHAnsi" w:hAnsiTheme="majorHAnsi" w:cstheme="majorHAnsi"/>
          <w:i/>
          <w:iCs/>
        </w:rPr>
        <w:br/>
      </w:r>
      <w:r w:rsidRPr="00653760">
        <w:rPr>
          <w:rFonts w:asciiTheme="majorHAnsi" w:hAnsiTheme="majorHAnsi" w:cstheme="majorHAnsi"/>
          <w:i/>
          <w:iCs/>
        </w:rPr>
        <w:br/>
        <w:t>(1) Any application received under a prior policy or administrative practice consistent with the principles of this Regulation shall, upon commencement of this Regulation, be treated as valid and processed under its provisions.</w:t>
      </w:r>
      <w:r w:rsidRPr="00653760">
        <w:rPr>
          <w:rFonts w:asciiTheme="majorHAnsi" w:hAnsiTheme="majorHAnsi" w:cstheme="majorHAnsi"/>
          <w:i/>
          <w:iCs/>
        </w:rPr>
        <w:br/>
      </w:r>
    </w:p>
    <w:p w14:paraId="10D35B9D" w14:textId="77777777" w:rsidR="000D715B" w:rsidRPr="00653760" w:rsidRDefault="000D715B" w:rsidP="000D715B">
      <w:pPr>
        <w:spacing w:after="120"/>
        <w:rPr>
          <w:rFonts w:asciiTheme="majorHAnsi" w:hAnsiTheme="majorHAnsi" w:cstheme="majorHAnsi"/>
          <w:i/>
          <w:iCs/>
        </w:rPr>
      </w:pPr>
      <w:r w:rsidRPr="00653760">
        <w:rPr>
          <w:rFonts w:asciiTheme="majorHAnsi" w:hAnsiTheme="majorHAnsi" w:cstheme="majorHAnsi"/>
          <w:b/>
          <w:bCs/>
          <w:i/>
          <w:iCs/>
        </w:rPr>
        <w:t>12. Revocation</w:t>
      </w:r>
      <w:r w:rsidRPr="00653760">
        <w:rPr>
          <w:rFonts w:asciiTheme="majorHAnsi" w:hAnsiTheme="majorHAnsi" w:cstheme="majorHAnsi"/>
          <w:i/>
          <w:iCs/>
        </w:rPr>
        <w:br/>
      </w:r>
      <w:r w:rsidRPr="00653760">
        <w:rPr>
          <w:rFonts w:asciiTheme="majorHAnsi" w:hAnsiTheme="majorHAnsi" w:cstheme="majorHAnsi"/>
          <w:i/>
          <w:iCs/>
        </w:rPr>
        <w:br/>
        <w:t>The Minister may revoke citizenship granted under this Regulation if it is established that it was obtained by fraud, misrepresentation, or concealment of material facts.</w:t>
      </w:r>
      <w:r w:rsidRPr="00653760">
        <w:rPr>
          <w:rFonts w:asciiTheme="majorHAnsi" w:hAnsiTheme="majorHAnsi" w:cstheme="majorHAnsi"/>
          <w:i/>
          <w:iCs/>
        </w:rPr>
        <w:br/>
      </w:r>
    </w:p>
    <w:p w14:paraId="176E526E" w14:textId="77777777" w:rsidR="000D715B" w:rsidRPr="00653760" w:rsidRDefault="000D715B" w:rsidP="000D715B">
      <w:pPr>
        <w:spacing w:after="120"/>
        <w:rPr>
          <w:rFonts w:asciiTheme="majorHAnsi" w:hAnsiTheme="majorHAnsi" w:cstheme="majorHAnsi"/>
          <w:i/>
          <w:iCs/>
        </w:rPr>
      </w:pPr>
      <w:r w:rsidRPr="00653760">
        <w:rPr>
          <w:rFonts w:asciiTheme="majorHAnsi" w:hAnsiTheme="majorHAnsi" w:cstheme="majorHAnsi"/>
          <w:b/>
          <w:bCs/>
          <w:i/>
          <w:iCs/>
        </w:rPr>
        <w:lastRenderedPageBreak/>
        <w:t>13. Reconsideration of Refusals</w:t>
      </w:r>
      <w:r w:rsidRPr="00653760">
        <w:rPr>
          <w:rFonts w:asciiTheme="majorHAnsi" w:hAnsiTheme="majorHAnsi" w:cstheme="majorHAnsi"/>
          <w:i/>
          <w:iCs/>
        </w:rPr>
        <w:br/>
      </w:r>
      <w:r w:rsidRPr="00653760">
        <w:rPr>
          <w:rFonts w:asciiTheme="majorHAnsi" w:hAnsiTheme="majorHAnsi" w:cstheme="majorHAnsi"/>
          <w:i/>
          <w:iCs/>
        </w:rPr>
        <w:br/>
        <w:t>An applicant whose application is refused may, within 30 days of notification, submit a written request for reconsideration to the Minister, who shall exercise discretion in accordance with the Act and this Regulation.</w:t>
      </w:r>
    </w:p>
    <w:p w14:paraId="7E5D08DE" w14:textId="77777777" w:rsidR="000D715B" w:rsidRPr="002764F6" w:rsidRDefault="000D715B" w:rsidP="000D715B">
      <w:pPr>
        <w:rPr>
          <w:i/>
          <w:iCs/>
        </w:rPr>
      </w:pPr>
      <w:r>
        <w:rPr>
          <w:b/>
          <w:bCs/>
          <w:i/>
          <w:iCs/>
        </w:rPr>
        <w:br/>
      </w:r>
      <w:r w:rsidRPr="002764F6">
        <w:rPr>
          <w:b/>
          <w:bCs/>
          <w:i/>
          <w:iCs/>
        </w:rPr>
        <w:t xml:space="preserve">Made this ___ day of ________, </w:t>
      </w:r>
      <w:proofErr w:type="gramStart"/>
      <w:r w:rsidRPr="002764F6">
        <w:rPr>
          <w:b/>
          <w:bCs/>
          <w:i/>
          <w:iCs/>
        </w:rPr>
        <w:t>20</w:t>
      </w:r>
      <w:r>
        <w:rPr>
          <w:b/>
          <w:bCs/>
          <w:i/>
          <w:iCs/>
        </w:rPr>
        <w:t xml:space="preserve">  </w:t>
      </w:r>
      <w:r w:rsidRPr="002764F6">
        <w:rPr>
          <w:b/>
          <w:bCs/>
          <w:i/>
          <w:iCs/>
        </w:rPr>
        <w:t>.</w:t>
      </w:r>
      <w:proofErr w:type="gramEnd"/>
      <w:r w:rsidRPr="002764F6">
        <w:rPr>
          <w:i/>
          <w:iCs/>
        </w:rPr>
        <w:br/>
      </w:r>
      <w:r w:rsidRPr="002764F6">
        <w:rPr>
          <w:b/>
          <w:bCs/>
          <w:i/>
          <w:iCs/>
        </w:rPr>
        <w:t>BY HIS EXCELLENCY, THE PRESIDENT OF THE REPUBLIC OF SIERRA LEONE</w:t>
      </w:r>
    </w:p>
    <w:p w14:paraId="522A34B8" w14:textId="77777777" w:rsidR="000D715B" w:rsidRDefault="000D715B" w:rsidP="000D715B">
      <w:pPr>
        <w:rPr>
          <w:i/>
          <w:iCs/>
        </w:rPr>
      </w:pPr>
    </w:p>
    <w:p w14:paraId="38354B4A" w14:textId="77777777" w:rsidR="000D715B" w:rsidRDefault="000D715B" w:rsidP="000D715B">
      <w:pPr>
        <w:rPr>
          <w:i/>
          <w:iCs/>
        </w:rPr>
      </w:pPr>
    </w:p>
    <w:p w14:paraId="47DF85AE" w14:textId="677D22F4" w:rsidR="004325D4" w:rsidRDefault="000D715B">
      <w:r w:rsidRPr="002764F6">
        <w:rPr>
          <w:b/>
          <w:bCs/>
          <w:i/>
          <w:iCs/>
        </w:rPr>
        <w:t>President of the Republic</w:t>
      </w:r>
    </w:p>
    <w:sectPr w:rsidR="00432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5B"/>
    <w:rsid w:val="000D715B"/>
    <w:rsid w:val="001E4F73"/>
    <w:rsid w:val="001E7B0A"/>
    <w:rsid w:val="002A1EAD"/>
    <w:rsid w:val="00300E7D"/>
    <w:rsid w:val="004325D4"/>
    <w:rsid w:val="00777F1F"/>
    <w:rsid w:val="009B09A5"/>
    <w:rsid w:val="00AD3BAC"/>
    <w:rsid w:val="00C10F06"/>
    <w:rsid w:val="00C119BD"/>
    <w:rsid w:val="00ED2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4E079"/>
  <w15:chartTrackingRefBased/>
  <w15:docId w15:val="{763BFFA3-2290-4A90-A6F7-5C0906E0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15B"/>
  </w:style>
  <w:style w:type="paragraph" w:styleId="Heading1">
    <w:name w:val="heading 1"/>
    <w:basedOn w:val="Normal"/>
    <w:next w:val="Normal"/>
    <w:link w:val="Heading1Char"/>
    <w:uiPriority w:val="9"/>
    <w:qFormat/>
    <w:rsid w:val="000D71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71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71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71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71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7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1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1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1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1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71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7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15B"/>
    <w:rPr>
      <w:rFonts w:eastAsiaTheme="majorEastAsia" w:cstheme="majorBidi"/>
      <w:color w:val="272727" w:themeColor="text1" w:themeTint="D8"/>
    </w:rPr>
  </w:style>
  <w:style w:type="paragraph" w:styleId="Title">
    <w:name w:val="Title"/>
    <w:basedOn w:val="Normal"/>
    <w:next w:val="Normal"/>
    <w:link w:val="TitleChar"/>
    <w:uiPriority w:val="10"/>
    <w:qFormat/>
    <w:rsid w:val="000D7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15B"/>
    <w:pPr>
      <w:spacing w:before="160"/>
      <w:jc w:val="center"/>
    </w:pPr>
    <w:rPr>
      <w:i/>
      <w:iCs/>
      <w:color w:val="404040" w:themeColor="text1" w:themeTint="BF"/>
    </w:rPr>
  </w:style>
  <w:style w:type="character" w:customStyle="1" w:styleId="QuoteChar">
    <w:name w:val="Quote Char"/>
    <w:basedOn w:val="DefaultParagraphFont"/>
    <w:link w:val="Quote"/>
    <w:uiPriority w:val="29"/>
    <w:rsid w:val="000D715B"/>
    <w:rPr>
      <w:i/>
      <w:iCs/>
      <w:color w:val="404040" w:themeColor="text1" w:themeTint="BF"/>
    </w:rPr>
  </w:style>
  <w:style w:type="paragraph" w:styleId="ListParagraph">
    <w:name w:val="List Paragraph"/>
    <w:basedOn w:val="Normal"/>
    <w:uiPriority w:val="34"/>
    <w:qFormat/>
    <w:rsid w:val="000D715B"/>
    <w:pPr>
      <w:ind w:left="720"/>
      <w:contextualSpacing/>
    </w:pPr>
  </w:style>
  <w:style w:type="character" w:styleId="IntenseEmphasis">
    <w:name w:val="Intense Emphasis"/>
    <w:basedOn w:val="DefaultParagraphFont"/>
    <w:uiPriority w:val="21"/>
    <w:qFormat/>
    <w:rsid w:val="000D715B"/>
    <w:rPr>
      <w:i/>
      <w:iCs/>
      <w:color w:val="2F5496" w:themeColor="accent1" w:themeShade="BF"/>
    </w:rPr>
  </w:style>
  <w:style w:type="paragraph" w:styleId="IntenseQuote">
    <w:name w:val="Intense Quote"/>
    <w:basedOn w:val="Normal"/>
    <w:next w:val="Normal"/>
    <w:link w:val="IntenseQuoteChar"/>
    <w:uiPriority w:val="30"/>
    <w:qFormat/>
    <w:rsid w:val="000D7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715B"/>
    <w:rPr>
      <w:i/>
      <w:iCs/>
      <w:color w:val="2F5496" w:themeColor="accent1" w:themeShade="BF"/>
    </w:rPr>
  </w:style>
  <w:style w:type="character" w:styleId="IntenseReference">
    <w:name w:val="Intense Reference"/>
    <w:basedOn w:val="DefaultParagraphFont"/>
    <w:uiPriority w:val="32"/>
    <w:qFormat/>
    <w:rsid w:val="000D71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1005</Words>
  <Characters>5731</Characters>
  <Application>Microsoft Office Word</Application>
  <DocSecurity>0</DocSecurity>
  <Lines>47</Lines>
  <Paragraphs>13</Paragraphs>
  <ScaleCrop>false</ScaleCrop>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Barnes</dc:creator>
  <cp:keywords/>
  <dc:description/>
  <cp:lastModifiedBy>Stephen Barnes</cp:lastModifiedBy>
  <cp:revision>3</cp:revision>
  <dcterms:created xsi:type="dcterms:W3CDTF">2025-08-23T11:12:00Z</dcterms:created>
  <dcterms:modified xsi:type="dcterms:W3CDTF">2026-01-28T03:23:00Z</dcterms:modified>
</cp:coreProperties>
</file>